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14:paraId="416C8D3A" w14:textId="77777777" w:rsidTr="00741B69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6D883E5C" w14:textId="77777777" w:rsidR="00294A89" w:rsidRPr="00962BDC" w:rsidRDefault="00294A89" w:rsidP="00741B6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1ECD34BA" w14:textId="77777777" w:rsidR="00294A89" w:rsidRPr="00962BDC" w:rsidRDefault="00741B69" w:rsidP="00741B6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Iznenadna smrt</w:t>
            </w:r>
          </w:p>
        </w:tc>
      </w:tr>
      <w:tr w:rsidR="00294A89" w:rsidRPr="00962BDC" w14:paraId="30DEC150" w14:textId="77777777" w:rsidTr="00741B6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C72B2BF" w14:textId="77777777" w:rsidR="00294A89" w:rsidRPr="00962BDC" w:rsidRDefault="00294A89" w:rsidP="00741B69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74050EE" w14:textId="77777777"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96DAAED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433896" w14:textId="2D0BB117" w:rsidR="00294A89" w:rsidRPr="00962BDC" w:rsidRDefault="00C866A2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294A89" w:rsidRPr="00962BDC" w14:paraId="76F86342" w14:textId="77777777" w:rsidTr="00741B6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AAE656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3536DFF" w14:textId="77777777" w:rsidR="00294A89" w:rsidRPr="00962BDC" w:rsidRDefault="00332925" w:rsidP="00741B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sc. Marija Definis-Gojanović, dr. med.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2AFBA1C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A83A25C" w14:textId="77777777" w:rsidR="00294A89" w:rsidRPr="00962BDC" w:rsidRDefault="00332925" w:rsidP="00741B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4A89" w:rsidRPr="00962BDC" w14:paraId="4FE25029" w14:textId="77777777" w:rsidTr="00741B69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204D1E4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DF4D57E" w14:textId="49A1E42E" w:rsidR="00294A89" w:rsidRPr="00962BDC" w:rsidRDefault="00332925" w:rsidP="00741B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sc. Kristijan Bečić, dr. med.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4AF2F6C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B0465" w14:textId="77777777" w:rsidR="00294A89" w:rsidRPr="00962BDC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A47F72" w14:textId="77777777" w:rsidR="00294A89" w:rsidRPr="00962BDC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B9E958" w14:textId="77777777" w:rsidR="00294A89" w:rsidRPr="00962BDC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99FE6" w14:textId="77777777" w:rsidR="00294A89" w:rsidRPr="00962BDC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5B8069C" w14:textId="77777777" w:rsidR="00294A89" w:rsidRPr="00962BDC" w:rsidRDefault="00294A89" w:rsidP="00741B69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14:paraId="228F8E22" w14:textId="77777777" w:rsidTr="00741B69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82A054B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F19E444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56CC42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6EBBA" w14:textId="77777777" w:rsidR="00294A89" w:rsidRPr="00962BDC" w:rsidRDefault="00332925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DF9B0" w14:textId="22459C84" w:rsidR="00294A89" w:rsidRPr="00962BDC" w:rsidRDefault="00B66B64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0BAD7" w14:textId="7C553238" w:rsidR="00294A89" w:rsidRPr="00962BDC" w:rsidRDefault="00B66B64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5CA525" w14:textId="77777777" w:rsidR="00294A89" w:rsidRPr="00962BDC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384A83" w14:textId="77777777" w:rsidR="00294A89" w:rsidRPr="00962BDC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14:paraId="6DBCF48B" w14:textId="77777777" w:rsidTr="00741B6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84C82A5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A3CDB0B" w14:textId="77777777"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BAC0C6F" w14:textId="77777777" w:rsidR="00294A89" w:rsidRPr="00962BDC" w:rsidRDefault="00294A89" w:rsidP="00741B6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265FD8E" w14:textId="77777777" w:rsidR="00294A89" w:rsidRPr="00962BDC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14:paraId="2FF66D89" w14:textId="77777777" w:rsidTr="00741B69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04FE6F09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14:paraId="7E10F7A3" w14:textId="77777777" w:rsidTr="00741B6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BD4DC44" w14:textId="77777777" w:rsidR="00294A89" w:rsidRPr="00962BDC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12D8B8" w14:textId="77777777" w:rsidR="00294A89" w:rsidRPr="00962BDC" w:rsidRDefault="00332925" w:rsidP="0033292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Razumijevanje problematike iznenadne smrti i usvajanje znanja o vrstama, uzrocima, mehanizmu i učestalosti, s posebnim naglaskom na naglu prirodnu smrt, posebice kod dojenčadi, male djece, mladih osoba, pri fizičkim aktivnostima, medicinskim tretmanima i zahvatima te u osoba lišenih slobode. Shvaćanje dijagnostičkih postupaka u slučajevima iznenadne smrti.</w:t>
            </w:r>
          </w:p>
        </w:tc>
      </w:tr>
      <w:tr w:rsidR="00294A89" w:rsidRPr="00962BDC" w14:paraId="71D58E43" w14:textId="77777777" w:rsidTr="00741B6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BF91E86" w14:textId="77777777" w:rsidR="00294A89" w:rsidRPr="00962BDC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F14F3B0" w14:textId="4C7BD0B1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14:paraId="558A1638" w14:textId="77777777" w:rsidTr="00741B6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8BF8CB0" w14:textId="77777777" w:rsidR="00294A89" w:rsidRPr="00962BDC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4F0A42F" w14:textId="71885511" w:rsidR="00C866A2" w:rsidRDefault="00C866A2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završetku nastave studenti će moći:</w:t>
            </w:r>
          </w:p>
          <w:p w14:paraId="57850897" w14:textId="0AA7605D" w:rsidR="00294A89" w:rsidRPr="00C866A2" w:rsidRDefault="00C866A2" w:rsidP="00C866A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32925" w:rsidRPr="00C866A2">
              <w:rPr>
                <w:rFonts w:ascii="Arial" w:hAnsi="Arial" w:cs="Arial"/>
              </w:rPr>
              <w:t>avesti glavne uzroke iznenadne smrti odraslih i djece</w:t>
            </w:r>
          </w:p>
          <w:p w14:paraId="25A75BBA" w14:textId="52287E17" w:rsidR="00332925" w:rsidRPr="00C866A2" w:rsidRDefault="00C866A2" w:rsidP="00C866A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32925" w:rsidRPr="00C866A2">
              <w:rPr>
                <w:rFonts w:ascii="Arial" w:hAnsi="Arial" w:cs="Arial"/>
              </w:rPr>
              <w:t>ojasniti mehanizme koji dovode do iznenadne smrti</w:t>
            </w:r>
          </w:p>
          <w:p w14:paraId="2076C45E" w14:textId="767A1BEF" w:rsidR="00332925" w:rsidRPr="00C866A2" w:rsidRDefault="00C866A2" w:rsidP="00C866A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32925" w:rsidRPr="00C866A2">
              <w:rPr>
                <w:rFonts w:ascii="Arial" w:hAnsi="Arial" w:cs="Arial"/>
              </w:rPr>
              <w:t>azlikova</w:t>
            </w:r>
            <w:r>
              <w:rPr>
                <w:rFonts w:ascii="Arial" w:hAnsi="Arial" w:cs="Arial"/>
              </w:rPr>
              <w:t>ti</w:t>
            </w:r>
            <w:r w:rsidR="00332925" w:rsidRPr="00C866A2">
              <w:rPr>
                <w:rFonts w:ascii="Arial" w:hAnsi="Arial" w:cs="Arial"/>
              </w:rPr>
              <w:t xml:space="preserve"> prirodne iznenadne smrti od nasiln</w:t>
            </w:r>
            <w:r>
              <w:rPr>
                <w:rFonts w:ascii="Arial" w:hAnsi="Arial" w:cs="Arial"/>
              </w:rPr>
              <w:t>ih</w:t>
            </w:r>
            <w:r w:rsidR="00332925" w:rsidRPr="00C866A2">
              <w:rPr>
                <w:rFonts w:ascii="Arial" w:hAnsi="Arial" w:cs="Arial"/>
              </w:rPr>
              <w:t xml:space="preserve"> smrti</w:t>
            </w:r>
          </w:p>
          <w:p w14:paraId="0757FCCE" w14:textId="458E8906" w:rsidR="00332925" w:rsidRPr="00C866A2" w:rsidRDefault="00C866A2" w:rsidP="00C866A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32925" w:rsidRPr="00C866A2">
              <w:rPr>
                <w:rFonts w:ascii="Arial" w:hAnsi="Arial" w:cs="Arial"/>
              </w:rPr>
              <w:t>bjasniti važnost obdukcije i drugih dijagnostičkih metoda</w:t>
            </w:r>
          </w:p>
        </w:tc>
      </w:tr>
      <w:tr w:rsidR="00294A89" w:rsidRPr="00962BDC" w14:paraId="414C7D44" w14:textId="77777777" w:rsidTr="00741B6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D8342B4" w14:textId="77777777" w:rsidR="00294A89" w:rsidRPr="00962BDC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04F35E7" w14:textId="77777777" w:rsidR="00294A89" w:rsidRDefault="00666178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</w:t>
            </w:r>
          </w:p>
          <w:p w14:paraId="5FA07DE2" w14:textId="525CE52A" w:rsidR="00666178" w:rsidRPr="009929D1" w:rsidRDefault="00666178" w:rsidP="009929D1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929D1">
              <w:rPr>
                <w:rFonts w:ascii="Arial" w:hAnsi="Arial" w:cs="Arial"/>
              </w:rPr>
              <w:t>prirodna vs. nasilna smrt; iznenadna smrt: pojam, vrste, uzroci, podloga i mehanizam nastanka</w:t>
            </w:r>
            <w:r w:rsidR="009929D1">
              <w:rPr>
                <w:rFonts w:ascii="Arial" w:hAnsi="Arial" w:cs="Arial"/>
              </w:rPr>
              <w:t xml:space="preserve"> (P1 – 2 h)</w:t>
            </w:r>
          </w:p>
          <w:p w14:paraId="7B6F1A4D" w14:textId="77777777" w:rsidR="009929D1" w:rsidRDefault="009929D1" w:rsidP="009929D1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dijagnostičke metode – važnost obdukcija (P2 – 2 h)</w:t>
            </w:r>
          </w:p>
          <w:p w14:paraId="4CB21541" w14:textId="77777777" w:rsidR="009929D1" w:rsidRDefault="009929D1" w:rsidP="009929D1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najčešće iznenadne prirodne smrti (P3 – 2 h)</w:t>
            </w:r>
          </w:p>
          <w:p w14:paraId="60715BAC" w14:textId="77777777" w:rsidR="009929D1" w:rsidRDefault="009929D1" w:rsidP="009929D1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teme (P4 – 2 h)</w:t>
            </w:r>
          </w:p>
          <w:p w14:paraId="486D671C" w14:textId="77777777" w:rsidR="009929D1" w:rsidRDefault="009929D1" w:rsidP="009929D1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</w:t>
            </w:r>
          </w:p>
          <w:p w14:paraId="44BAE25A" w14:textId="05054B82" w:rsidR="009929D1" w:rsidRP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razlikovanje</w:t>
            </w:r>
            <w:r w:rsidRPr="00B66B64">
              <w:rPr>
                <w:rFonts w:ascii="Arial" w:hAnsi="Arial" w:cs="Arial"/>
              </w:rPr>
              <w:t xml:space="preserve"> iznenadne i nasilne smrti (S1 – 2h)</w:t>
            </w:r>
          </w:p>
          <w:p w14:paraId="6D6542B2" w14:textId="77777777" w:rsid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s obdukcijama i ulogom mrtvozornika (S2 – 2 h)</w:t>
            </w:r>
          </w:p>
          <w:p w14:paraId="11DC8CF4" w14:textId="77777777" w:rsid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uzroci prirodne iznenadne smrti (S3 – 4 h)</w:t>
            </w:r>
          </w:p>
          <w:p w14:paraId="06DD88FE" w14:textId="6C1FE657" w:rsid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samostalni seminarski rad (S4 – 4 h)</w:t>
            </w:r>
          </w:p>
          <w:p w14:paraId="13489BA5" w14:textId="77777777" w:rsidR="00B66B64" w:rsidRDefault="00B66B64" w:rsidP="00B66B64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Vježbe</w:t>
            </w:r>
          </w:p>
          <w:p w14:paraId="0385B237" w14:textId="77777777" w:rsid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uzrok, mehanizam i vrsta smrti (V1 – 1h)</w:t>
            </w:r>
          </w:p>
          <w:p w14:paraId="72113F9B" w14:textId="04543A6A" w:rsidR="00B66B64" w:rsidRP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B66B64">
              <w:rPr>
                <w:rFonts w:ascii="Arial" w:hAnsi="Arial" w:cs="Arial"/>
              </w:rPr>
              <w:t>samostalno razlikovanje iznenadne i nasilne smrti</w:t>
            </w:r>
            <w:r>
              <w:rPr>
                <w:rFonts w:ascii="Arial" w:hAnsi="Arial" w:cs="Arial"/>
              </w:rPr>
              <w:t xml:space="preserve"> (V2</w:t>
            </w:r>
            <w:r w:rsidRPr="00B66B64">
              <w:rPr>
                <w:rFonts w:ascii="Arial" w:hAnsi="Arial" w:cs="Arial"/>
              </w:rPr>
              <w:t xml:space="preserve"> – 1h)</w:t>
            </w:r>
          </w:p>
          <w:p w14:paraId="6ABD0A67" w14:textId="0C13D254" w:rsid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obdukcijske vježbe (V3 – 1h)</w:t>
            </w:r>
          </w:p>
          <w:p w14:paraId="47ACF279" w14:textId="77777777" w:rsid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mrtvozorstvo i iznenadna smrt (V4 – 1h)</w:t>
            </w:r>
          </w:p>
          <w:p w14:paraId="1FA2BD7F" w14:textId="0D615684" w:rsidR="00B66B64" w:rsidRPr="00B66B64" w:rsidRDefault="00B66B64" w:rsidP="00B66B64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primjeri iznenadne smrti (V5 – 1h)</w:t>
            </w:r>
          </w:p>
        </w:tc>
      </w:tr>
      <w:tr w:rsidR="00294A89" w:rsidRPr="00962BDC" w14:paraId="40F2D6A6" w14:textId="77777777" w:rsidTr="00741B69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E6E6229" w14:textId="50DEFA1A" w:rsidR="00294A89" w:rsidRPr="00962BDC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5BB88B2C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14:paraId="51BFED60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14:paraId="4B026646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14:paraId="361A6292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14:paraId="2D445E65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14:paraId="32E61CFD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b/>
                <w:bdr w:val="single" w:sz="12" w:space="0" w:color="auto"/>
              </w:rPr>
              <w:lastRenderedPageBreak/>
              <w:t xml:space="preserve"> </w:t>
            </w:r>
          </w:p>
        </w:tc>
      </w:tr>
      <w:tr w:rsidR="00294A89" w:rsidRPr="00962BDC" w14:paraId="10A675D7" w14:textId="77777777" w:rsidTr="00741B69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F2175BF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01AEF941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14:paraId="309CF66D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14:paraId="4AC7CB59" w14:textId="77777777" w:rsidTr="00741B6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D037319" w14:textId="77777777" w:rsidR="00294A89" w:rsidRPr="00962BDC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3768C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14:paraId="25468099" w14:textId="77777777" w:rsidTr="00741B69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DD10426" w14:textId="77777777" w:rsidR="00294A89" w:rsidRPr="00962BDC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91873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BA3F5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DDBFFB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AA8B9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77EF3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E1489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14:paraId="6F2D1B67" w14:textId="77777777" w:rsidTr="00741B6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CC0233C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46A60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1937B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3AEC6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4BAA5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9282E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73731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14:paraId="74ABC210" w14:textId="77777777" w:rsidTr="00741B6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0813EFF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A8AC9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B2C2B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A3DB8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E9C59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100BD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6168C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14:paraId="5CF34AC9" w14:textId="77777777" w:rsidTr="00741B6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C40CB68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84EB0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7FA429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973CA" w14:textId="77777777" w:rsidR="00294A89" w:rsidRPr="00962BDC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BDD61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18B9A5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69587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14:paraId="2D9012EA" w14:textId="77777777" w:rsidTr="00741B6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C88ECB0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D1CD1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74196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BF227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25BA20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2567D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CAC6F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14:paraId="4FE7BCCF" w14:textId="77777777" w:rsidTr="00741B69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B3266C4" w14:textId="77777777" w:rsidR="00294A89" w:rsidRPr="00962BDC" w:rsidRDefault="00294A89" w:rsidP="00741B6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9D12D2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  <w:r w:rsidR="00332925">
              <w:rPr>
                <w:rFonts w:ascii="Arial" w:hAnsi="Arial" w:cs="Arial"/>
              </w:rPr>
              <w:t xml:space="preserve"> / izrada seminarskog rada.</w:t>
            </w:r>
          </w:p>
        </w:tc>
      </w:tr>
      <w:tr w:rsidR="009929D1" w:rsidRPr="00962BDC" w14:paraId="651FBCA9" w14:textId="77777777" w:rsidTr="00741B69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84325B9" w14:textId="77777777" w:rsidR="009929D1" w:rsidRPr="00962BDC" w:rsidRDefault="009929D1" w:rsidP="00741B69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30AD97D" w14:textId="77777777" w:rsidR="009929D1" w:rsidRPr="00962BDC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2465B7E" w14:textId="77777777" w:rsidR="009929D1" w:rsidRPr="00962BDC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030A467" w14:textId="77777777" w:rsidR="009929D1" w:rsidRPr="00962BDC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9929D1" w:rsidRPr="00962BDC" w14:paraId="4F5E476C" w14:textId="77777777" w:rsidTr="00741B6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D9596E9" w14:textId="77777777" w:rsidR="009929D1" w:rsidRPr="00962BDC" w:rsidRDefault="009929D1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CB1FA4" w14:textId="08E87A26" w:rsidR="009929D1" w:rsidRPr="00332925" w:rsidRDefault="009929D1" w:rsidP="0033292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6FB2">
              <w:rPr>
                <w:rFonts w:ascii="Arial" w:hAnsi="Arial" w:cs="Arial"/>
                <w:bCs/>
                <w:sz w:val="22"/>
                <w:szCs w:val="22"/>
                <w:lang w:val="es-AR"/>
              </w:rPr>
              <w:t xml:space="preserve">Zečević D, ur. Sudska medicina i deontologija. </w:t>
            </w:r>
            <w:r w:rsidRPr="009929D1">
              <w:rPr>
                <w:rFonts w:ascii="Arial" w:hAnsi="Arial" w:cs="Arial"/>
                <w:bCs/>
                <w:sz w:val="22"/>
                <w:szCs w:val="22"/>
              </w:rPr>
              <w:t xml:space="preserve">Zagreb: </w:t>
            </w:r>
            <w:proofErr w:type="spellStart"/>
            <w:r w:rsidRPr="009929D1">
              <w:rPr>
                <w:rFonts w:ascii="Arial" w:hAnsi="Arial" w:cs="Arial"/>
                <w:bCs/>
                <w:sz w:val="22"/>
                <w:szCs w:val="22"/>
              </w:rPr>
              <w:t>Medicinska</w:t>
            </w:r>
            <w:proofErr w:type="spellEnd"/>
            <w:r w:rsidRPr="009929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29D1">
              <w:rPr>
                <w:rFonts w:ascii="Arial" w:hAnsi="Arial" w:cs="Arial"/>
                <w:bCs/>
                <w:sz w:val="22"/>
                <w:szCs w:val="22"/>
              </w:rPr>
              <w:t>naklada</w:t>
            </w:r>
            <w:proofErr w:type="spellEnd"/>
            <w:r w:rsidRPr="009929D1">
              <w:rPr>
                <w:rFonts w:ascii="Arial" w:hAnsi="Arial" w:cs="Arial"/>
                <w:bCs/>
                <w:sz w:val="22"/>
                <w:szCs w:val="22"/>
              </w:rPr>
              <w:t>; 2004.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189BCDC" w14:textId="77777777" w:rsidR="009929D1" w:rsidRPr="00962BDC" w:rsidRDefault="009929D1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EF513" w14:textId="78F33BD1" w:rsidR="009929D1" w:rsidRPr="00962BDC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&gt;10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ACB9BB" w14:textId="35DE4A1E" w:rsidR="009929D1" w:rsidRPr="00962BDC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9929D1" w:rsidRPr="00962BDC" w14:paraId="47B5F4A6" w14:textId="77777777" w:rsidTr="00741B6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EDB2AE8" w14:textId="77777777" w:rsidR="009929D1" w:rsidRPr="00962BDC" w:rsidRDefault="009929D1" w:rsidP="009929D1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09EC1D" w14:textId="59A2C66A" w:rsidR="009929D1" w:rsidRPr="009929D1" w:rsidRDefault="009929D1" w:rsidP="0033292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332925">
              <w:rPr>
                <w:rFonts w:ascii="Arial" w:hAnsi="Arial" w:cs="Arial"/>
                <w:sz w:val="22"/>
                <w:szCs w:val="22"/>
              </w:rPr>
              <w:t xml:space="preserve">Kumar V, Abbas AK, Fausto N: Robbins and </w:t>
            </w:r>
            <w:proofErr w:type="spellStart"/>
            <w:r w:rsidRPr="00332925">
              <w:rPr>
                <w:rFonts w:ascii="Arial" w:hAnsi="Arial" w:cs="Arial"/>
                <w:sz w:val="22"/>
                <w:szCs w:val="22"/>
              </w:rPr>
              <w:t>Cotran</w:t>
            </w:r>
            <w:proofErr w:type="spellEnd"/>
            <w:r w:rsidRPr="00332925">
              <w:rPr>
                <w:rFonts w:ascii="Arial" w:hAnsi="Arial" w:cs="Arial"/>
                <w:sz w:val="22"/>
                <w:szCs w:val="22"/>
              </w:rPr>
              <w:t xml:space="preserve"> Pathologic Basis of Disease. 7th ed. Philadelphia: Elsevier Saunders, 2005.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B3C23E" w14:textId="77777777" w:rsidR="009929D1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2F96B9" w14:textId="2BCE3126" w:rsidR="009929D1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online</w:t>
            </w:r>
          </w:p>
        </w:tc>
      </w:tr>
      <w:tr w:rsidR="00294A89" w:rsidRPr="00962BDC" w14:paraId="6480F05D" w14:textId="77777777" w:rsidTr="00741B6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EE6EA40" w14:textId="77777777" w:rsidR="00294A89" w:rsidRPr="00962BDC" w:rsidRDefault="00294A89" w:rsidP="00741B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14:paraId="2BB5884C" w14:textId="77777777" w:rsidR="00294A89" w:rsidRPr="00962BDC" w:rsidRDefault="00294A89" w:rsidP="00741B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2C244D9" w14:textId="77777777" w:rsidR="009929D1" w:rsidRDefault="009929D1" w:rsidP="009929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2925">
              <w:rPr>
                <w:rFonts w:ascii="Arial" w:hAnsi="Arial" w:cs="Arial"/>
                <w:sz w:val="22"/>
                <w:szCs w:val="22"/>
              </w:rPr>
              <w:t>DiMaio</w:t>
            </w:r>
            <w:proofErr w:type="spellEnd"/>
            <w:r w:rsidRPr="00332925">
              <w:rPr>
                <w:rFonts w:ascii="Arial" w:hAnsi="Arial" w:cs="Arial"/>
                <w:sz w:val="22"/>
                <w:szCs w:val="22"/>
              </w:rPr>
              <w:t xml:space="preserve"> VJ, </w:t>
            </w:r>
            <w:proofErr w:type="spellStart"/>
            <w:r w:rsidRPr="00332925">
              <w:rPr>
                <w:rFonts w:ascii="Arial" w:hAnsi="Arial" w:cs="Arial"/>
                <w:sz w:val="22"/>
                <w:szCs w:val="22"/>
              </w:rPr>
              <w:t>DiMaio</w:t>
            </w:r>
            <w:proofErr w:type="spellEnd"/>
            <w:r w:rsidRPr="00332925">
              <w:rPr>
                <w:rFonts w:ascii="Arial" w:hAnsi="Arial" w:cs="Arial"/>
                <w:sz w:val="22"/>
                <w:szCs w:val="22"/>
              </w:rPr>
              <w:t xml:space="preserve"> D: Forensic Pathology. 2nd ed.</w:t>
            </w:r>
            <w:r>
              <w:rPr>
                <w:rFonts w:ascii="Arial" w:hAnsi="Arial" w:cs="Arial"/>
                <w:sz w:val="22"/>
                <w:szCs w:val="22"/>
              </w:rPr>
              <w:t xml:space="preserve"> Boca Raton: CRC Press, 2001.</w:t>
            </w:r>
          </w:p>
          <w:p w14:paraId="6E3A8693" w14:textId="01D821F6" w:rsidR="00332925" w:rsidRPr="00332925" w:rsidRDefault="00332925" w:rsidP="009929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2925">
              <w:rPr>
                <w:rFonts w:ascii="Arial" w:hAnsi="Arial" w:cs="Arial"/>
                <w:sz w:val="22"/>
                <w:szCs w:val="22"/>
              </w:rPr>
              <w:t xml:space="preserve">Payne-James J, </w:t>
            </w:r>
            <w:proofErr w:type="spellStart"/>
            <w:r w:rsidRPr="00332925">
              <w:rPr>
                <w:rFonts w:ascii="Arial" w:hAnsi="Arial" w:cs="Arial"/>
                <w:sz w:val="22"/>
                <w:szCs w:val="22"/>
              </w:rPr>
              <w:t>Busuttil</w:t>
            </w:r>
            <w:proofErr w:type="spellEnd"/>
            <w:r w:rsidRPr="00332925">
              <w:rPr>
                <w:rFonts w:ascii="Arial" w:hAnsi="Arial" w:cs="Arial"/>
                <w:sz w:val="22"/>
                <w:szCs w:val="22"/>
              </w:rPr>
              <w:t xml:space="preserve"> A, Smock W: Forensic Medicine - Clinical and Pathological Aspects. San Francisco: GMM, 2003.</w:t>
            </w:r>
            <w:r w:rsidRPr="00332925">
              <w:rPr>
                <w:rFonts w:ascii="Arial" w:hAnsi="Arial" w:cs="Arial"/>
                <w:sz w:val="22"/>
                <w:szCs w:val="22"/>
              </w:rPr>
              <w:br/>
              <w:t xml:space="preserve">Shepherd R: Simpson's Forensic medicine. 12th ed. London: Arnold, 2003. Berry CL: Pediatric Pathology. 3rd ed. London: Springer, 1996. </w:t>
            </w:r>
          </w:p>
          <w:p w14:paraId="5649B3BB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14:paraId="6F288559" w14:textId="77777777" w:rsidTr="00741B6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91FB0C" w14:textId="77777777" w:rsidR="00294A89" w:rsidRPr="00962BDC" w:rsidRDefault="00294A89" w:rsidP="00741B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58DE58" w14:textId="77777777" w:rsidR="00294A89" w:rsidRPr="00962BDC" w:rsidRDefault="00294A89" w:rsidP="00741B69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14:paraId="2456876C" w14:textId="77777777" w:rsidR="00294A89" w:rsidRPr="00962BDC" w:rsidRDefault="00294A89" w:rsidP="00741B69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14:paraId="26960F94" w14:textId="77777777" w:rsidR="00294A89" w:rsidRPr="00962BDC" w:rsidRDefault="00294A89" w:rsidP="00741B69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14:paraId="65E07655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14:paraId="4CFCD035" w14:textId="77777777" w:rsidTr="00741B6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090ABCF" w14:textId="77777777" w:rsidR="00294A89" w:rsidRPr="00962BDC" w:rsidRDefault="00294A89" w:rsidP="00741B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91BDD12" w14:textId="77777777" w:rsidR="00294A89" w:rsidRPr="00962BDC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14:paraId="19CC704D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52FCF4CA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07D5FD5F" w14:textId="77777777"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14:paraId="5BC1B484" w14:textId="77777777" w:rsidTr="00741B69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3765D8FD" w14:textId="77777777" w:rsidR="00294A89" w:rsidRPr="00497CCF" w:rsidRDefault="00294A89" w:rsidP="00741B6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lang w:val="en-US"/>
              </w:rPr>
            </w:pPr>
            <w:r w:rsidRPr="00497CCF">
              <w:rPr>
                <w:rFonts w:ascii="Arial" w:hAnsi="Arial" w:cs="Arial"/>
                <w:b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59423395" w14:textId="77777777" w:rsidR="00294A89" w:rsidRPr="00497CCF" w:rsidRDefault="00741B69" w:rsidP="00741B6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lang w:val="en-US"/>
              </w:rPr>
            </w:pPr>
            <w:r w:rsidRPr="00497CCF">
              <w:rPr>
                <w:rFonts w:ascii="Arial" w:hAnsi="Arial" w:cs="Arial"/>
                <w:b/>
                <w:lang w:val="en-US"/>
              </w:rPr>
              <w:t>Sudden death</w:t>
            </w:r>
          </w:p>
        </w:tc>
      </w:tr>
      <w:tr w:rsidR="00294A89" w:rsidRPr="001D0A0B" w14:paraId="56C10D29" w14:textId="77777777" w:rsidTr="00741B69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137208B" w14:textId="77777777" w:rsidR="00294A89" w:rsidRPr="00497CCF" w:rsidRDefault="00294A89" w:rsidP="00741B6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en-US"/>
              </w:rPr>
            </w:pPr>
            <w:r w:rsidRPr="00497CCF">
              <w:rPr>
                <w:rStyle w:val="Strong"/>
                <w:rFonts w:ascii="Arial" w:hAnsi="Arial" w:cs="Arial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AE84040" w14:textId="77777777" w:rsidR="00294A89" w:rsidRPr="00497CCF" w:rsidRDefault="00294A89" w:rsidP="00294A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AF5A33B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83C8F4" w14:textId="77777777" w:rsidR="00294A89" w:rsidRPr="00497CCF" w:rsidRDefault="00741B6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IV,V</w:t>
            </w:r>
          </w:p>
        </w:tc>
      </w:tr>
      <w:tr w:rsidR="00294A89" w:rsidRPr="001D0A0B" w14:paraId="2DE9D685" w14:textId="77777777" w:rsidTr="00741B69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22B38A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94E8037" w14:textId="77777777" w:rsidR="00294A89" w:rsidRPr="00497CCF" w:rsidRDefault="00741B6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</w:rPr>
              <w:t>prof. dr. sc. Marija Definis-Gojanović, dr. med.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99719A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A826EA" w14:textId="77777777" w:rsidR="00294A89" w:rsidRPr="00497CCF" w:rsidRDefault="00741B6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2</w:t>
            </w:r>
          </w:p>
        </w:tc>
      </w:tr>
      <w:tr w:rsidR="00294A89" w:rsidRPr="001D0A0B" w14:paraId="0489D7BF" w14:textId="77777777" w:rsidTr="00741B69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ED77B4A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BA1B0F5" w14:textId="082B85EC" w:rsidR="00294A89" w:rsidRPr="00426FB2" w:rsidRDefault="00741B69" w:rsidP="00741B6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97CCF">
              <w:rPr>
                <w:rFonts w:ascii="Arial" w:hAnsi="Arial" w:cs="Arial"/>
              </w:rPr>
              <w:t>dr. sc. Kristijan Bečić, dr. med.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50E7035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38CDA" w14:textId="77777777" w:rsidR="00294A89" w:rsidRPr="00497CCF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6F5ABE" w14:textId="77777777" w:rsidR="00294A89" w:rsidRPr="00497CCF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F8F2CD" w14:textId="77777777" w:rsidR="00294A89" w:rsidRPr="00497CCF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87A321" w14:textId="77777777" w:rsidR="00294A89" w:rsidRPr="00497CCF" w:rsidRDefault="00294A89" w:rsidP="00741B6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T</w:t>
            </w:r>
          </w:p>
        </w:tc>
      </w:tr>
      <w:tr w:rsidR="00294A89" w:rsidRPr="001D0A0B" w14:paraId="2A454601" w14:textId="77777777" w:rsidTr="00741B69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7267B0D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4B7232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B68C527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02C9B" w14:textId="77777777" w:rsidR="00294A89" w:rsidRPr="00497CCF" w:rsidRDefault="00741B6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BFC12" w14:textId="7208FD1E" w:rsidR="00294A89" w:rsidRPr="00497CCF" w:rsidRDefault="00B66B64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21F623" w14:textId="769690C7" w:rsidR="00294A89" w:rsidRPr="00497CCF" w:rsidRDefault="00B66B64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EC6E04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4A89" w:rsidRPr="001D0A0B" w14:paraId="60C66A81" w14:textId="77777777" w:rsidTr="00741B69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9B50D5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78C542" w14:textId="77777777" w:rsidR="00294A89" w:rsidRPr="00497CCF" w:rsidRDefault="00294A89" w:rsidP="00294A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F345290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503322" w14:textId="77777777" w:rsidR="00294A89" w:rsidRPr="00497CCF" w:rsidRDefault="00294A89" w:rsidP="00741B6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4A89" w:rsidRPr="001D0A0B" w14:paraId="4BC8CEC7" w14:textId="77777777" w:rsidTr="00741B69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36F0B7D2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497CCF">
              <w:rPr>
                <w:rFonts w:ascii="Arial" w:hAnsi="Arial" w:cs="Arial"/>
                <w:b/>
                <w:lang w:val="en-US"/>
              </w:rPr>
              <w:t>COURSE DESCRIPTION</w:t>
            </w:r>
          </w:p>
        </w:tc>
      </w:tr>
      <w:tr w:rsidR="00294A89" w:rsidRPr="001D0A0B" w14:paraId="181CE9C9" w14:textId="77777777" w:rsidTr="00741B69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1B179D0" w14:textId="77777777" w:rsidR="00294A89" w:rsidRPr="00497CCF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09B1261" w14:textId="4501E593" w:rsidR="00294A89" w:rsidRPr="00497CCF" w:rsidRDefault="00294A89" w:rsidP="00741B69">
            <w:pPr>
              <w:pStyle w:val="Tekstpasuskojinijeprvi"/>
              <w:spacing w:after="0"/>
              <w:rPr>
                <w:rFonts w:ascii="Arial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294A89" w:rsidRPr="001D0A0B" w14:paraId="7B196866" w14:textId="77777777" w:rsidTr="00741B69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8416FA1" w14:textId="77777777" w:rsidR="00294A89" w:rsidRPr="00497CCF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43CA57C" w14:textId="6865B6E4" w:rsidR="00C866A2" w:rsidRDefault="00C866A2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Upon completion students will be able to:</w:t>
            </w:r>
          </w:p>
          <w:p w14:paraId="71644263" w14:textId="0614B525" w:rsidR="00741B69" w:rsidRPr="00C866A2" w:rsidRDefault="00C866A2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41B69" w:rsidRPr="00C866A2">
              <w:rPr>
                <w:rFonts w:ascii="Arial" w:hAnsi="Arial" w:cs="Arial"/>
                <w:lang w:val="en-US"/>
              </w:rPr>
              <w:t>rovide the main causes of the sudden death of adults and children</w:t>
            </w:r>
          </w:p>
          <w:p w14:paraId="2E53B412" w14:textId="4ACBC36B" w:rsidR="00741B69" w:rsidRPr="00C866A2" w:rsidRDefault="00C866A2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741B69" w:rsidRPr="00C866A2">
              <w:rPr>
                <w:rFonts w:ascii="Arial" w:hAnsi="Arial" w:cs="Arial"/>
                <w:lang w:val="en-US"/>
              </w:rPr>
              <w:t>xplain the mecha</w:t>
            </w:r>
            <w:r>
              <w:rPr>
                <w:rFonts w:ascii="Arial" w:hAnsi="Arial" w:cs="Arial"/>
                <w:lang w:val="en-US"/>
              </w:rPr>
              <w:t>nisms that lead to sudden death</w:t>
            </w:r>
          </w:p>
          <w:p w14:paraId="5C2FE3CA" w14:textId="3ACCDD1D" w:rsidR="00741B69" w:rsidRPr="00C866A2" w:rsidRDefault="00C866A2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741B69" w:rsidRPr="00C866A2">
              <w:rPr>
                <w:rFonts w:ascii="Arial" w:hAnsi="Arial" w:cs="Arial"/>
                <w:lang w:val="en-US"/>
              </w:rPr>
              <w:t xml:space="preserve">istinguish between sudden </w:t>
            </w:r>
            <w:r>
              <w:rPr>
                <w:rFonts w:ascii="Arial" w:hAnsi="Arial" w:cs="Arial"/>
                <w:lang w:val="en-US"/>
              </w:rPr>
              <w:t>natural death and violent death</w:t>
            </w:r>
          </w:p>
          <w:p w14:paraId="3442A0A3" w14:textId="11325CE2" w:rsidR="00294A89" w:rsidRPr="00C866A2" w:rsidRDefault="00C866A2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741B69" w:rsidRPr="00C866A2">
              <w:rPr>
                <w:rFonts w:ascii="Arial" w:hAnsi="Arial" w:cs="Arial"/>
                <w:lang w:val="en-US"/>
              </w:rPr>
              <w:t>xplain the importance of the autopsy and other diagnostic methods</w:t>
            </w:r>
          </w:p>
        </w:tc>
      </w:tr>
      <w:tr w:rsidR="00294A89" w:rsidRPr="001D0A0B" w14:paraId="6A16D285" w14:textId="77777777" w:rsidTr="00741B69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8C7136F" w14:textId="77777777" w:rsidR="00294A89" w:rsidRPr="00497CCF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1A3DA1" w14:textId="7B0A14E1" w:rsidR="007B59E8" w:rsidRPr="007B59E8" w:rsidRDefault="007B59E8" w:rsidP="007B59E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Pr="007B59E8">
              <w:rPr>
                <w:rFonts w:ascii="Arial" w:hAnsi="Arial" w:cs="Arial"/>
                <w:lang w:val="en-US"/>
              </w:rPr>
              <w:t>ectures</w:t>
            </w:r>
          </w:p>
          <w:p w14:paraId="5CBB46B1" w14:textId="6643995A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natural vs. violent death; sudden death: concept, types, causes and mechanism of (P1 - 2 h)</w:t>
            </w:r>
          </w:p>
          <w:p w14:paraId="1793EDC3" w14:textId="60F6EF84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diagnostic tests - the importance of autopsies (P2 - 2 h)</w:t>
            </w:r>
          </w:p>
          <w:p w14:paraId="2115162D" w14:textId="23F139CC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the most common sudden natural deaths (P3 - 2 h)</w:t>
            </w:r>
          </w:p>
          <w:p w14:paraId="41008900" w14:textId="7EADFFCC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special topics (P4 - 2 h)</w:t>
            </w:r>
          </w:p>
          <w:p w14:paraId="4C9497DF" w14:textId="5E8BC621" w:rsidR="007B59E8" w:rsidRPr="007B59E8" w:rsidRDefault="007B59E8" w:rsidP="007B59E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7B59E8">
              <w:rPr>
                <w:rFonts w:ascii="Arial" w:hAnsi="Arial" w:cs="Arial"/>
                <w:lang w:val="en-US"/>
              </w:rPr>
              <w:t>eminars</w:t>
            </w:r>
          </w:p>
          <w:p w14:paraId="7B931BCD" w14:textId="0E726B34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distinguishing between sudden and violent deaths (S1 - 2h)</w:t>
            </w:r>
          </w:p>
          <w:p w14:paraId="559E86DA" w14:textId="2511C9CE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introduction to the autopsies and the role of the coroner (S2 - 2 h)</w:t>
            </w:r>
          </w:p>
          <w:p w14:paraId="3DA82AF1" w14:textId="3626850D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the most common causes of natural sudden death (S3 - 4 h)</w:t>
            </w:r>
          </w:p>
          <w:p w14:paraId="77843FE8" w14:textId="08DC674E" w:rsidR="007B59E8" w:rsidRPr="00C866A2" w:rsidRDefault="00D879DC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 xml:space="preserve">individual </w:t>
            </w:r>
            <w:r w:rsidR="007B59E8" w:rsidRPr="00C866A2">
              <w:rPr>
                <w:rFonts w:ascii="Arial" w:hAnsi="Arial" w:cs="Arial"/>
                <w:lang w:val="en-US"/>
              </w:rPr>
              <w:t>seminar paper</w:t>
            </w:r>
            <w:r w:rsidRPr="00C866A2">
              <w:rPr>
                <w:rFonts w:ascii="Arial" w:hAnsi="Arial" w:cs="Arial"/>
                <w:lang w:val="en-US"/>
              </w:rPr>
              <w:t>s</w:t>
            </w:r>
            <w:r w:rsidR="007B59E8" w:rsidRPr="00C866A2">
              <w:rPr>
                <w:rFonts w:ascii="Arial" w:hAnsi="Arial" w:cs="Arial"/>
                <w:lang w:val="en-US"/>
              </w:rPr>
              <w:t xml:space="preserve"> (S4 - 4 h)</w:t>
            </w:r>
          </w:p>
          <w:p w14:paraId="279497C0" w14:textId="3D2A5ABF" w:rsidR="007B59E8" w:rsidRPr="007B59E8" w:rsidRDefault="007B59E8" w:rsidP="007B59E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7B59E8">
              <w:rPr>
                <w:rFonts w:ascii="Arial" w:hAnsi="Arial" w:cs="Arial"/>
                <w:lang w:val="en-US"/>
              </w:rPr>
              <w:t>xercises</w:t>
            </w:r>
          </w:p>
          <w:p w14:paraId="0A8E6CF5" w14:textId="4F7DEE99" w:rsidR="007B59E8" w:rsidRPr="00C866A2" w:rsidRDefault="00D879DC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c</w:t>
            </w:r>
            <w:r w:rsidR="007B59E8" w:rsidRPr="00C866A2">
              <w:rPr>
                <w:rFonts w:ascii="Arial" w:hAnsi="Arial" w:cs="Arial"/>
                <w:lang w:val="en-US"/>
              </w:rPr>
              <w:t>ause, mechanism and manner of death (V1 - 1h)</w:t>
            </w:r>
          </w:p>
          <w:p w14:paraId="14F69C11" w14:textId="6A6AC7FB" w:rsidR="007B59E8" w:rsidRPr="00C866A2" w:rsidRDefault="007B59E8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differentiation of sudden and violent death</w:t>
            </w:r>
            <w:r w:rsidR="00D879DC" w:rsidRPr="00C866A2">
              <w:rPr>
                <w:rFonts w:ascii="Arial" w:hAnsi="Arial" w:cs="Arial"/>
                <w:lang w:val="en-US"/>
              </w:rPr>
              <w:t>s</w:t>
            </w:r>
            <w:r w:rsidRPr="00C866A2">
              <w:rPr>
                <w:rFonts w:ascii="Arial" w:hAnsi="Arial" w:cs="Arial"/>
                <w:lang w:val="en-US"/>
              </w:rPr>
              <w:t xml:space="preserve"> (V2 - 1h)</w:t>
            </w:r>
          </w:p>
          <w:p w14:paraId="53CE0055" w14:textId="1DA65C6A" w:rsidR="007B59E8" w:rsidRPr="00C866A2" w:rsidRDefault="00D879DC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a</w:t>
            </w:r>
            <w:r w:rsidR="007B59E8" w:rsidRPr="00C866A2">
              <w:rPr>
                <w:rFonts w:ascii="Arial" w:hAnsi="Arial" w:cs="Arial"/>
                <w:lang w:val="en-US"/>
              </w:rPr>
              <w:t>utopsy exercises (V3 - 1h)</w:t>
            </w:r>
          </w:p>
          <w:p w14:paraId="20EF93A6" w14:textId="748DFC72" w:rsidR="007B59E8" w:rsidRPr="00C866A2" w:rsidRDefault="00D879DC" w:rsidP="00C866A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coroner's role and</w:t>
            </w:r>
            <w:r w:rsidR="007B59E8" w:rsidRPr="00C866A2">
              <w:rPr>
                <w:rFonts w:ascii="Arial" w:hAnsi="Arial" w:cs="Arial"/>
                <w:lang w:val="en-US"/>
              </w:rPr>
              <w:t xml:space="preserve"> sudden death (V4 - 1h)</w:t>
            </w:r>
          </w:p>
          <w:p w14:paraId="28413EE6" w14:textId="7E010E08" w:rsidR="00294A89" w:rsidRPr="00C866A2" w:rsidRDefault="00D879DC" w:rsidP="00C866A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866A2">
              <w:rPr>
                <w:rFonts w:ascii="Arial" w:hAnsi="Arial" w:cs="Arial"/>
                <w:lang w:val="en-US"/>
              </w:rPr>
              <w:t>- e</w:t>
            </w:r>
            <w:r w:rsidR="007B59E8" w:rsidRPr="00C866A2">
              <w:rPr>
                <w:rFonts w:ascii="Arial" w:hAnsi="Arial" w:cs="Arial"/>
                <w:lang w:val="en-US"/>
              </w:rPr>
              <w:t>xamples of sudden death (V5 - 1h)</w:t>
            </w:r>
          </w:p>
        </w:tc>
      </w:tr>
      <w:tr w:rsidR="00294A89" w:rsidRPr="001D0A0B" w14:paraId="59AC1A15" w14:textId="77777777" w:rsidTr="00741B69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89737C6" w14:textId="77777777" w:rsidR="00294A89" w:rsidRPr="00497CCF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2C435948" w14:textId="77777777" w:rsidR="00294A89" w:rsidRPr="00497CCF" w:rsidRDefault="00426FB2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31035659"/>
              </w:sdtPr>
              <w:sdtEndPr/>
              <w:sdtContent>
                <w:r w:rsidR="00294A89" w:rsidRPr="00497CCF">
                  <w:rPr>
                    <w:rFonts w:ascii="Menlo Regular" w:eastAsia="MS Gothic" w:hAnsi="Menlo Regular" w:cs="Menlo Regular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497CCF">
              <w:rPr>
                <w:rFonts w:ascii="Arial" w:hAnsi="Arial" w:cs="Arial"/>
                <w:b w:val="0"/>
                <w:sz w:val="22"/>
                <w:szCs w:val="22"/>
              </w:rPr>
              <w:t xml:space="preserve"> lectures</w:t>
            </w:r>
          </w:p>
          <w:p w14:paraId="2EC4FB65" w14:textId="77777777" w:rsidR="00294A89" w:rsidRPr="00497CCF" w:rsidRDefault="00426FB2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31035654"/>
                  </w:sdtPr>
                  <w:sdtEndPr/>
                  <w:sdtContent>
                    <w:r w:rsidR="00294A89" w:rsidRPr="00497CCF">
                      <w:rPr>
                        <w:rFonts w:ascii="Menlo Regular" w:eastAsia="MS Gothic" w:hAnsi="Menlo Regular" w:cs="Menlo Regular"/>
                        <w:b w:val="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294A89" w:rsidRPr="00497CCF">
              <w:rPr>
                <w:rFonts w:ascii="Arial" w:hAnsi="Arial" w:cs="Arial"/>
                <w:b w:val="0"/>
                <w:sz w:val="22"/>
                <w:szCs w:val="22"/>
              </w:rPr>
              <w:t xml:space="preserve"> seminars and workshops</w:t>
            </w:r>
          </w:p>
          <w:p w14:paraId="55ED1C2B" w14:textId="77777777" w:rsidR="00294A89" w:rsidRPr="00497CCF" w:rsidRDefault="00426FB2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1722101872"/>
                  </w:sdtPr>
                  <w:sdtEndPr/>
                  <w:sdtContent>
                    <w:r w:rsidR="00294A89" w:rsidRPr="00497CCF">
                      <w:rPr>
                        <w:rFonts w:ascii="Menlo Regular" w:eastAsia="MS Gothic" w:hAnsi="Menlo Regular" w:cs="Menlo Regular"/>
                        <w:b w:val="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294A89" w:rsidRPr="00497CCF">
              <w:rPr>
                <w:rFonts w:ascii="Arial" w:hAnsi="Arial" w:cs="Arial"/>
                <w:b w:val="0"/>
                <w:sz w:val="22"/>
                <w:szCs w:val="22"/>
              </w:rPr>
              <w:t xml:space="preserve"> exercises  </w:t>
            </w:r>
          </w:p>
          <w:p w14:paraId="045E8C98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45712" w14:textId="77777777" w:rsidR="00294A89" w:rsidRPr="00497CCF" w:rsidRDefault="00426FB2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324557448"/>
              </w:sdtPr>
              <w:sdtEndPr/>
              <w:sdtContent>
                <w:r w:rsidR="00294A89" w:rsidRPr="00497CCF">
                  <w:rPr>
                    <w:rFonts w:ascii="Menlo Regular" w:eastAsia="MS Gothic" w:hAnsi="Menlo Regular" w:cs="Menlo Regular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94A89" w:rsidRPr="00497CCF">
              <w:rPr>
                <w:rFonts w:ascii="Arial" w:hAnsi="Arial" w:cs="Arial"/>
                <w:b w:val="0"/>
                <w:sz w:val="22"/>
                <w:szCs w:val="22"/>
              </w:rPr>
              <w:t xml:space="preserve"> independent assignments</w:t>
            </w:r>
          </w:p>
          <w:p w14:paraId="6ACD1BB0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b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14:paraId="336A80CF" w14:textId="77777777" w:rsidTr="00741B69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A718E3E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316AA89B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3121B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94A89" w:rsidRPr="001D0A0B" w14:paraId="3F90D847" w14:textId="77777777" w:rsidTr="00741B69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7DC475D" w14:textId="77777777" w:rsidR="00294A89" w:rsidRPr="00497CCF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Student</w:t>
            </w:r>
            <w:r w:rsidRPr="00497CCF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97CCF">
              <w:rPr>
                <w:rFonts w:ascii="Arial" w:hAnsi="Arial" w:cs="Arial"/>
                <w:color w:val="00000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A7D2B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14:paraId="480E2462" w14:textId="77777777" w:rsidTr="00741B69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2C5E6CC" w14:textId="77777777" w:rsidR="00294A89" w:rsidRPr="00497CCF" w:rsidRDefault="00294A89" w:rsidP="00741B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 xml:space="preserve">Screening student work </w:t>
            </w:r>
            <w:r w:rsidRPr="00497CCF">
              <w:rPr>
                <w:rFonts w:ascii="Arial" w:hAnsi="Arial" w:cs="Arial"/>
                <w:i/>
                <w:color w:val="000000"/>
                <w:lang w:val="en-US"/>
              </w:rPr>
              <w:t xml:space="preserve">(name the proportion of ECTS credits for </w:t>
            </w:r>
            <w:r w:rsidRPr="00497CCF">
              <w:rPr>
                <w:rFonts w:ascii="Arial" w:hAnsi="Arial" w:cs="Arial"/>
                <w:i/>
                <w:color w:val="000000"/>
                <w:lang w:val="en-US"/>
              </w:rPr>
              <w:lastRenderedPageBreak/>
              <w:t>each</w:t>
            </w:r>
            <w:r w:rsidRPr="00497CCF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97CCF">
              <w:rPr>
                <w:rFonts w:ascii="Arial" w:hAnsi="Arial" w:cs="Arial"/>
                <w:i/>
                <w:color w:val="00000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3F321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31CB7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718FB0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252D7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0DE58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6EA072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94A89" w:rsidRPr="001D0A0B" w14:paraId="69BF0436" w14:textId="77777777" w:rsidTr="00741B69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1969DE3" w14:textId="77777777" w:rsidR="00294A89" w:rsidRPr="00497CCF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408F2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4812F0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B7807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85B2B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9E440F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97CC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5B935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94A89" w:rsidRPr="001D0A0B" w14:paraId="438B7266" w14:textId="77777777" w:rsidTr="00741B69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0118347" w14:textId="77777777" w:rsidR="00294A89" w:rsidRPr="00497CCF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617B5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8373A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B4F97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90B14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AD315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97CC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0BE24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94A89" w:rsidRPr="001D0A0B" w14:paraId="2FDE9D59" w14:textId="77777777" w:rsidTr="00741B69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7B08EB1" w14:textId="77777777" w:rsidR="00294A89" w:rsidRPr="00497CCF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5EFBC3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ED2B0C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97CC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968F1" w14:textId="77777777" w:rsidR="00294A89" w:rsidRPr="00497CCF" w:rsidRDefault="00294A89" w:rsidP="00741B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7CC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BA982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2D6C3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  <w:r w:rsidRPr="00497CCF">
              <w:rPr>
                <w:rFonts w:ascii="Arial" w:hAnsi="Arial" w:cs="Arial"/>
                <w:color w:val="00000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5DE50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5CC9E829" w14:textId="77777777" w:rsidTr="00741B69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A472398" w14:textId="77777777" w:rsidR="00294A89" w:rsidRPr="00497CCF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2D43E6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92CBE8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57F11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8655A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4EDAF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  <w:r w:rsidRPr="00497CCF">
              <w:rPr>
                <w:rFonts w:ascii="Arial" w:hAnsi="Arial" w:cs="Arial"/>
                <w:color w:val="00000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BF310F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7B7A601C" w14:textId="77777777" w:rsidTr="00741B69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8DC5352" w14:textId="77777777" w:rsidR="00294A89" w:rsidRPr="00497CCF" w:rsidRDefault="00294A89" w:rsidP="00741B6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75563E" w14:textId="77777777" w:rsidR="00294A89" w:rsidRPr="00497CCF" w:rsidRDefault="00741B6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bCs/>
              </w:rPr>
              <w:t>Written test / Paper</w:t>
            </w:r>
          </w:p>
        </w:tc>
      </w:tr>
      <w:tr w:rsidR="00294A89" w:rsidRPr="001D0A0B" w14:paraId="0A2539A7" w14:textId="77777777" w:rsidTr="00741B69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0C61F57" w14:textId="77777777" w:rsidR="00294A89" w:rsidRPr="00497CCF" w:rsidRDefault="00294A89" w:rsidP="00741B69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BAD082C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b/>
                <w:color w:val="00000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81F6955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b/>
                <w:color w:val="00000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818CAB5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b/>
                <w:color w:val="000000"/>
                <w:lang w:val="en-US"/>
              </w:rPr>
              <w:t>Availability via other media</w:t>
            </w:r>
          </w:p>
        </w:tc>
      </w:tr>
      <w:tr w:rsidR="00294A89" w:rsidRPr="001D0A0B" w14:paraId="6D90FC1B" w14:textId="77777777" w:rsidTr="00741B69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1218279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974EC0" w14:textId="710C55A9" w:rsidR="00294A89" w:rsidRPr="00497CCF" w:rsidRDefault="009929D1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9929D1">
              <w:rPr>
                <w:rFonts w:ascii="Arial" w:hAnsi="Arial" w:cs="Arial"/>
                <w:bCs/>
              </w:rPr>
              <w:t>Zečević D, ur. Sudska medicina i deontologija. Zagreb: Medicinska naklada; 2004.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B4D9B8" w14:textId="6C7375B6" w:rsidR="00294A89" w:rsidRPr="00497CCF" w:rsidRDefault="009929D1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&gt;10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1123A3" w14:textId="2477A648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94A89" w:rsidRPr="001D0A0B" w14:paraId="51A85988" w14:textId="77777777" w:rsidTr="00741B69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E247F9F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40D6E6" w14:textId="77777777" w:rsidR="00294A89" w:rsidRPr="00497CCF" w:rsidRDefault="00741B6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</w:rPr>
              <w:t>Kumar V, Abbas AK, Fausto N: Robbins and Cotran Pathologic Basis of Disease. 7th ed. Philadelphia: Elsevier Saunders,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80EAD5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BDA679" w14:textId="77777777" w:rsidR="00294A89" w:rsidRPr="00497CCF" w:rsidRDefault="00741B6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online</w:t>
            </w:r>
          </w:p>
        </w:tc>
      </w:tr>
      <w:tr w:rsidR="00294A89" w:rsidRPr="001D0A0B" w14:paraId="64E4F94A" w14:textId="77777777" w:rsidTr="00741B69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27F8D9F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68F716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DBD729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DA4DBC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2E5B79B5" w14:textId="77777777" w:rsidTr="00741B69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F3C7D79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A672E3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921F78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CE107D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2CE10AB7" w14:textId="77777777" w:rsidTr="00741B69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658D69F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E3847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31BD35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3463B0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4CFD7CC3" w14:textId="77777777" w:rsidTr="00741B69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064D5A9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65A3AA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44807C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1D2B6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73909256" w14:textId="77777777" w:rsidTr="00741B69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3A82D37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DB71CB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A95847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AC8C56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77F793DD" w14:textId="77777777" w:rsidTr="00741B69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C4AD7F2" w14:textId="77777777" w:rsidR="00294A89" w:rsidRPr="00497CCF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4B0534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136EC4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8D04A1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94A89" w:rsidRPr="001D0A0B" w14:paraId="5A47F2FA" w14:textId="77777777" w:rsidTr="00741B69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F07D65" w14:textId="77777777" w:rsidR="00294A89" w:rsidRPr="00497CCF" w:rsidRDefault="00294A89" w:rsidP="00741B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 xml:space="preserve">Optional literature (at the time of submission of study </w:t>
            </w:r>
            <w:proofErr w:type="spellStart"/>
            <w:r w:rsidRPr="00497CCF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  <w:r w:rsidRPr="00497CCF">
              <w:rPr>
                <w:rFonts w:ascii="Arial" w:hAnsi="Arial" w:cs="Arial"/>
                <w:color w:val="00000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907716" w14:textId="77777777" w:rsidR="009929D1" w:rsidRPr="009929D1" w:rsidRDefault="009929D1" w:rsidP="009929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29D1">
              <w:rPr>
                <w:rFonts w:ascii="Arial" w:hAnsi="Arial" w:cs="Arial"/>
                <w:sz w:val="22"/>
                <w:szCs w:val="22"/>
              </w:rPr>
              <w:t>DiMaio</w:t>
            </w:r>
            <w:proofErr w:type="spellEnd"/>
            <w:r w:rsidRPr="009929D1">
              <w:rPr>
                <w:rFonts w:ascii="Arial" w:hAnsi="Arial" w:cs="Arial"/>
                <w:sz w:val="22"/>
                <w:szCs w:val="22"/>
              </w:rPr>
              <w:t xml:space="preserve"> VJ, </w:t>
            </w:r>
            <w:proofErr w:type="spellStart"/>
            <w:r w:rsidRPr="009929D1">
              <w:rPr>
                <w:rFonts w:ascii="Arial" w:hAnsi="Arial" w:cs="Arial"/>
                <w:sz w:val="22"/>
                <w:szCs w:val="22"/>
              </w:rPr>
              <w:t>DiMaio</w:t>
            </w:r>
            <w:proofErr w:type="spellEnd"/>
            <w:r w:rsidRPr="009929D1">
              <w:rPr>
                <w:rFonts w:ascii="Arial" w:hAnsi="Arial" w:cs="Arial"/>
                <w:sz w:val="22"/>
                <w:szCs w:val="22"/>
              </w:rPr>
              <w:t xml:space="preserve"> D: Forensic Pathology. 2nd ed. Boca Raton: CRC Press, 2001.</w:t>
            </w:r>
          </w:p>
          <w:p w14:paraId="78076C1F" w14:textId="1C3546D5" w:rsidR="00741B69" w:rsidRPr="009929D1" w:rsidRDefault="00741B69" w:rsidP="009929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29D1">
              <w:rPr>
                <w:rFonts w:ascii="Arial" w:hAnsi="Arial" w:cs="Arial"/>
                <w:sz w:val="22"/>
                <w:szCs w:val="22"/>
              </w:rPr>
              <w:t xml:space="preserve">Payne-James J, </w:t>
            </w:r>
            <w:proofErr w:type="spellStart"/>
            <w:r w:rsidRPr="009929D1">
              <w:rPr>
                <w:rFonts w:ascii="Arial" w:hAnsi="Arial" w:cs="Arial"/>
                <w:sz w:val="22"/>
                <w:szCs w:val="22"/>
              </w:rPr>
              <w:t>Busuttil</w:t>
            </w:r>
            <w:proofErr w:type="spellEnd"/>
            <w:r w:rsidRPr="009929D1">
              <w:rPr>
                <w:rFonts w:ascii="Arial" w:hAnsi="Arial" w:cs="Arial"/>
                <w:sz w:val="22"/>
                <w:szCs w:val="22"/>
              </w:rPr>
              <w:t xml:space="preserve"> A, Smock W: Forensic Medicine - Clinical and Pathological Aspects. San Francisco: GMM, 2003.</w:t>
            </w:r>
            <w:r w:rsidRPr="009929D1">
              <w:rPr>
                <w:rFonts w:ascii="Arial" w:hAnsi="Arial" w:cs="Arial"/>
                <w:sz w:val="22"/>
                <w:szCs w:val="22"/>
              </w:rPr>
              <w:br/>
              <w:t xml:space="preserve">Shepherd R: Simpson's Forensic medicine. 12th ed. London: Arnold, 2003. Berry CL: Pediatric Pathology. 3rd ed. London: Springer, 1996. </w:t>
            </w:r>
          </w:p>
          <w:p w14:paraId="4FCBD8C6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294A89" w:rsidRPr="001D0A0B" w14:paraId="12B7CA3F" w14:textId="77777777" w:rsidTr="00741B69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54152DD" w14:textId="77777777" w:rsidR="00294A89" w:rsidRPr="00497CCF" w:rsidRDefault="00294A89" w:rsidP="00741B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614AD4C" w14:textId="77777777" w:rsidR="00294A89" w:rsidRPr="00497CCF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Teaching quality analysis by students and teachers</w:t>
            </w:r>
          </w:p>
          <w:p w14:paraId="6248FB3F" w14:textId="77777777" w:rsidR="00294A89" w:rsidRPr="00497CCF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Exam passing rate analysis</w:t>
            </w:r>
          </w:p>
          <w:p w14:paraId="24DB9A65" w14:textId="77777777" w:rsidR="00294A89" w:rsidRPr="00497CCF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Committee for control of teaching reports</w:t>
            </w:r>
          </w:p>
          <w:p w14:paraId="17BEEDDC" w14:textId="77777777" w:rsidR="00294A89" w:rsidRPr="00497CCF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t>External evaluation</w:t>
            </w:r>
          </w:p>
        </w:tc>
      </w:tr>
      <w:tr w:rsidR="00294A89" w:rsidRPr="001D0A0B" w14:paraId="6E863168" w14:textId="77777777" w:rsidTr="00741B69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FD684A4" w14:textId="77777777" w:rsidR="00294A89" w:rsidRPr="00497CCF" w:rsidRDefault="00294A89" w:rsidP="00741B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97CCF">
              <w:rPr>
                <w:rFonts w:ascii="Arial" w:hAnsi="Arial" w:cs="Arial"/>
                <w:color w:val="000000"/>
                <w:lang w:val="en-US"/>
              </w:rPr>
              <w:t>Other (</w:t>
            </w:r>
            <w:r w:rsidRPr="00497CCF">
              <w:rPr>
                <w:rFonts w:ascii="Arial" w:hAnsi="Arial" w:cs="Arial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3AB526E" w14:textId="77777777" w:rsidR="00294A89" w:rsidRPr="00497CCF" w:rsidRDefault="00294A89" w:rsidP="00741B69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497CCF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CC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97CCF">
              <w:rPr>
                <w:rFonts w:ascii="Arial" w:hAnsi="Arial" w:cs="Arial"/>
                <w:lang w:val="en-US"/>
              </w:rPr>
            </w:r>
            <w:r w:rsidRPr="00497CCF">
              <w:rPr>
                <w:rFonts w:ascii="Arial" w:hAnsi="Arial" w:cs="Arial"/>
                <w:lang w:val="en-US"/>
              </w:rPr>
              <w:fldChar w:fldCharType="separate"/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t> </w:t>
            </w:r>
            <w:r w:rsidRPr="00497CCF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2D224EC1" w14:textId="77777777"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8E1"/>
    <w:multiLevelType w:val="hybridMultilevel"/>
    <w:tmpl w:val="D01C5340"/>
    <w:lvl w:ilvl="0" w:tplc="0FDA8D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7905"/>
    <w:multiLevelType w:val="hybridMultilevel"/>
    <w:tmpl w:val="2FE25220"/>
    <w:lvl w:ilvl="0" w:tplc="4036C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74C8"/>
    <w:multiLevelType w:val="hybridMultilevel"/>
    <w:tmpl w:val="6FA8DFFC"/>
    <w:lvl w:ilvl="0" w:tplc="4036C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63753F38"/>
    <w:multiLevelType w:val="hybridMultilevel"/>
    <w:tmpl w:val="EAFAF6C6"/>
    <w:lvl w:ilvl="0" w:tplc="4036C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D6F12EA"/>
    <w:multiLevelType w:val="hybridMultilevel"/>
    <w:tmpl w:val="976A6010"/>
    <w:lvl w:ilvl="0" w:tplc="4036C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263CCF"/>
    <w:rsid w:val="00294A89"/>
    <w:rsid w:val="00332925"/>
    <w:rsid w:val="00426FB2"/>
    <w:rsid w:val="00497CCF"/>
    <w:rsid w:val="00666178"/>
    <w:rsid w:val="00674B02"/>
    <w:rsid w:val="00741B69"/>
    <w:rsid w:val="007B59E8"/>
    <w:rsid w:val="009929D1"/>
    <w:rsid w:val="00A625B8"/>
    <w:rsid w:val="00B66B64"/>
    <w:rsid w:val="00BB2AFE"/>
    <w:rsid w:val="00C124A1"/>
    <w:rsid w:val="00C866A2"/>
    <w:rsid w:val="00D879DC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B8221"/>
  <w15:docId w15:val="{3E2CFE04-C2D3-484D-87B4-9B05CB0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292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Tekstpasuskojinijeprvi">
    <w:name w:val="Tekst: pasus koji nije prvi"/>
    <w:basedOn w:val="Normal"/>
    <w:rsid w:val="00741B69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dcterms:created xsi:type="dcterms:W3CDTF">2017-12-12T08:54:00Z</dcterms:created>
  <dcterms:modified xsi:type="dcterms:W3CDTF">2017-12-12T08:54:00Z</dcterms:modified>
</cp:coreProperties>
</file>